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АГЕНТСКИЙ ДОГОВОР</w:t>
        <w:br/>
      </w:r>
      <w:r>
        <w:rPr>
          <w:b/>
          <w:sz w:val="26"/>
        </w:rPr>
        <w:t>о поиске, первичной квалификации и передаче коммерческих возможностей</w:t>
      </w:r>
    </w:p>
    <w:p>
      <w:pPr>
        <w:jc w:val="center"/>
      </w:pPr>
      <w:r>
        <w:rPr>
          <w:color w:val="5A5A5A"/>
          <w:sz w:val="18"/>
        </w:rPr>
        <w:t>Шаблон АМАПС • версия 1.0 • 12.09.2026</w:t>
      </w:r>
    </w:p>
    <w:p>
      <w:pPr>
        <w:jc w:val="both"/>
      </w:pPr>
      <w:r>
        <w:t>Настоящий договор регулирует взаимодействие Агента и Принципала при поиске, первичной квалификации, передаче сведений и документов по коммерческим возможностям в промышленном B2B. Реквизиты и идентифицирующие данные сторон в публичном шаблоне не указываются и заполняются только при подписании конкретной редакции договора.</w:t>
      </w:r>
    </w:p>
    <w:p>
      <w:pPr>
        <w:pStyle w:val="Heading1"/>
      </w:pPr>
      <w:r>
        <w:t>1. ТЕРМИНЫ И ОПРЕДЕЛЕНИЯ</w:t>
      </w:r>
    </w:p>
    <w:p>
      <w:pPr>
        <w:jc w:val="both"/>
      </w:pPr>
      <w:r>
        <w:t>1.1. Агент — сторона, осуществляющая поиск, анализ, первичную квалификацию и передачу сведений и документов по коммерческим возможностям под брендом АМАПС в пределах условий настоящего договора.</w:t>
      </w:r>
    </w:p>
    <w:p>
      <w:pPr>
        <w:jc w:val="both"/>
      </w:pPr>
      <w:r>
        <w:rPr>
          <w:b/>
        </w:rPr>
        <w:t>1.2. Принципал</w:t>
      </w:r>
      <w:r>
        <w:t xml:space="preserve"> — производитель, поставщик, подрядчик или иное лицо, заинтересованное в получении и реализации коммерческих возможностей.</w:t>
      </w:r>
    </w:p>
    <w:p>
      <w:pPr>
        <w:jc w:val="both"/>
      </w:pPr>
      <w:r>
        <w:rPr>
          <w:b/>
        </w:rPr>
        <w:t>1.3. Коммерческая возможность</w:t>
      </w:r>
      <w:r>
        <w:t xml:space="preserve"> — конкретный подтвержденный спрос, закупка, проект, запрос предложения, потребность заказчика или иная деловая возможность, выявленная Агентом.</w:t>
      </w:r>
    </w:p>
    <w:p>
      <w:pPr>
        <w:jc w:val="both"/>
      </w:pPr>
      <w:r>
        <w:rPr>
          <w:b/>
        </w:rPr>
        <w:t>1.4. Защищенная возможность</w:t>
      </w:r>
      <w:r>
        <w:t xml:space="preserve"> — Коммерческая возможность, по которой Принципал до раскрытия идентифицирующих данных письменно подтвердил готовность работать по условиям настоящего договора, после чего Агент зарегистрировал возможность путем направления сообщения с кодом/описанием, датой регистрации и данными, позволяющими однозначно определить сделку.</w:t>
      </w:r>
    </w:p>
    <w:p>
      <w:pPr>
        <w:jc w:val="both"/>
      </w:pPr>
      <w:r>
        <w:rPr>
          <w:b/>
        </w:rPr>
        <w:t>1.5. Заказчик</w:t>
      </w:r>
      <w:r>
        <w:t xml:space="preserve"> — лицо, формирующее спрос либо заключающее договор с Принципалом; для целей защиты сделки к Заказчику также относятся его аффилированные лица, представители, закупочные операторы, генеральные подрядчики и иные лица, через которых фактически реализуется та же Защищенная возможность.</w:t>
      </w:r>
    </w:p>
    <w:p>
      <w:pPr>
        <w:jc w:val="both"/>
      </w:pPr>
      <w:r>
        <w:rPr>
          <w:b/>
        </w:rPr>
        <w:t>1.6. Защищенный период</w:t>
      </w:r>
      <w:r>
        <w:t xml:space="preserve"> — 24 (двадцать четыре) месяца с даты регистрации конкретной Защищенной возможности, если по ней не согласован иной срок.</w:t>
      </w:r>
    </w:p>
    <w:p>
      <w:pPr>
        <w:jc w:val="both"/>
      </w:pPr>
      <w:r>
        <w:rPr>
          <w:b/>
        </w:rPr>
        <w:t>1.7. Фактическая выручка</w:t>
      </w:r>
      <w:r>
        <w:t xml:space="preserve"> — денежные средства, реально полученные Принципалом либо связанным с ним лицом от Заказчика или связанного с Заказчиком лица по Защищенной возможности, без НДС, если НДС выделен в соответствующих расчетных документах, и за вычетом документально подтвержденных возвратов Заказчику.</w:t>
      </w:r>
    </w:p>
    <w:p>
      <w:pPr>
        <w:pStyle w:val="Heading1"/>
      </w:pPr>
      <w:r>
        <w:t>2. ПРЕДМЕТ ДОГОВОРА</w:t>
      </w:r>
    </w:p>
    <w:p>
      <w:pPr>
        <w:jc w:val="both"/>
      </w:pPr>
      <w:r>
        <w:t>2.1. Агент обязуется за вознаграждение совершать в интересах Принципала фактические и организационные действия, направленные на выявление и первичную квалификацию Коммерческих возможностей, а также передавать Принципалу имеющиеся у Агента сведения и документы по зарегистрированным возможностям. Принципал обязуется рассматривать переданные возможности, соблюдать режим их защиты и выплачивать Агенту вознаграждение в порядке, установленном настоящим договором.</w:t>
      </w:r>
    </w:p>
    <w:p>
      <w:pPr>
        <w:jc w:val="both"/>
      </w:pPr>
      <w:r>
        <w:t>2.2. В состав действий Агента могут входить: мониторинг открытых источников и закупок; изучение доступной технической и коммерческой документации; фиксация опубликованных на момент проверки сроков и требований; проверка полноты доступных исходных данных; сопоставление потребности с заявленными и подтверждаемыми компетенциями Принципала; передача имеющихся документов по Защищенной возможности; при наличии доступного канала связи и по согласованию сторон — сбор и передача вопросов, ответов и опубликованных изменений.</w:t>
      </w:r>
    </w:p>
    <w:p>
      <w:pPr>
        <w:jc w:val="both"/>
      </w:pPr>
      <w:r>
        <w:t>2.3. Агент не принимает на себя обязательство обеспечить победу в закупке, заключение договора Заказчиком, оплату Заказчиком, выдачу лицензий/допусков или достижение иного результата, зависящего от третьих лиц.</w:t>
      </w:r>
    </w:p>
    <w:p>
      <w:pPr>
        <w:jc w:val="both"/>
      </w:pPr>
      <w:r>
        <w:t>2.4. Агент не вправе подписывать от имени Принципала договоры, заявки, коммерческие предложения либо иные юридически значимые документы без отдельной письменной доверенности.</w:t>
      </w:r>
    </w:p>
    <w:p>
      <w:pPr/>
      <w:r>
        <w:t>2.5. Агент не является оператором закупочной процедуры, не управляет сроками, условиями или решениями Заказчика, ЭТП либо иного организатора процедуры и не принимает на себя обязанность обеспечить допуск, победу, заключение договора или оплату. Если отдельная письменная договоренность не устанавливает иное, Агент не обязан осуществлять непрерывный мониторинг каждой процедуры после передачи Защищенной возможности.</w:t>
      </w:r>
    </w:p>
    <w:p>
      <w:pPr>
        <w:pStyle w:val="Heading1"/>
      </w:pPr>
      <w:r>
        <w:t>3. ПОРЯДОК РЕГИСТРАЦИИ И ЗАЩИТЫ КОММЕРЧЕСКОЙ ВОЗМОЖНОСТИ</w:t>
      </w:r>
    </w:p>
    <w:p>
      <w:pPr>
        <w:jc w:val="both"/>
      </w:pPr>
      <w:r>
        <w:t>3.1. До регистрации Защищенной возможности Агент вправе направить Принципалу обезличенное описание потребности в объеме, достаточном для оценки технического интереса, без раскрытия наименования Заказчика, номера закупки, прямой ссылки, контактных данных и иных сведений, позволяющих легко идентифицировать сделку.</w:t>
      </w:r>
    </w:p>
    <w:p>
      <w:pPr>
        <w:jc w:val="both"/>
      </w:pPr>
      <w:r>
        <w:t>3.2. Защита конкретной возможности возникает только после письменного подтверждения Принципалом готовности работать по условиям настоящего договора и последующей регистрации Агентом этой возможности.</w:t>
      </w:r>
    </w:p>
    <w:p>
      <w:pPr>
        <w:jc w:val="both"/>
      </w:pPr>
      <w:r>
        <w:t>3.3. Регистрация осуществляется в электронной форме и должна позволять определить: дату регистрации, предмет возможности, Заказчика либо иной однозначный идентификатор, код/номер возможности АМАПС и при необходимости индивидуально согласованный размер вознаграждения.</w:t>
      </w:r>
    </w:p>
    <w:p>
      <w:pPr>
        <w:jc w:val="both"/>
      </w:pPr>
      <w:r>
        <w:t>3.4. Если до регистрации Принципал уже независимо и документально располагал сведениями именно о той же возможности и вел по ней предметную работу, он обязан заявить об этом до получения полного раскрытия и предоставить подтверждающие документы. При подтверждении такого факта возможность не считается защищенной.</w:t>
      </w:r>
    </w:p>
    <w:p>
      <w:pPr>
        <w:jc w:val="both"/>
      </w:pPr>
      <w:r>
        <w:t>3.5. После регистрации Принципал не вправе использовать раскрытые Агентом сведения для обхода Агента либо передачи возможности третьему лицу с целью исключить или уменьшить вознаграждение Агента.</w:t>
      </w:r>
    </w:p>
    <w:p>
      <w:pPr>
        <w:pStyle w:val="Heading1"/>
      </w:pPr>
      <w:r>
        <w:t>4. ОБЯЗАННОСТИ ПРИНЦИПАЛА</w:t>
      </w:r>
    </w:p>
    <w:p>
      <w:pPr>
        <w:jc w:val="both"/>
      </w:pPr>
      <w:r>
        <w:t>4.1. Добросовестно и в разумный срок рассматривать Защищенные возможности, сообщать о технической возможности или невозможности исполнения, а при принятии в расчет — предоставлять Агенту статус подготовки предложения.</w:t>
      </w:r>
    </w:p>
    <w:p>
      <w:pPr>
        <w:jc w:val="both"/>
      </w:pPr>
      <w:r>
        <w:t>4.2. Не раскрывать Защищенную возможность третьим лицам с целью обхода Агента и не заключать сделки через аффилированное, вновь созданное, номинальное, посредническое или иное связанное лицо с целью исключить агентское вознаграждение.</w:t>
      </w:r>
    </w:p>
    <w:p>
      <w:pPr>
        <w:jc w:val="both"/>
      </w:pPr>
      <w:r>
        <w:t>4.3. В течение 3 (трех) рабочих дней уведомлять Агента о: прямом обращении Заказчика; подаче предложения/заявки; допуске к процедуре; заключении договора; изменении цены/объема; получении аванса или иного платежа; прекращении сделки.</w:t>
      </w:r>
    </w:p>
    <w:p>
      <w:pPr>
        <w:jc w:val="both"/>
      </w:pPr>
      <w:r>
        <w:t>4.4. По запросу Агента в части конкретной Защищенной возможности предоставлять документы, необходимые исключительно для проверки базы агентского вознаграждения: договор/заказ/спецификацию, счет/УПД/акт, уведомление о поступлении денежных средств либо иной документ, подтверждающий сумму Фактической выручки. Коммерчески чувствительные сведения, не влияющие на расчет вознаграждения, могут быть скрыты.</w:t>
      </w:r>
    </w:p>
    <w:p>
      <w:pPr>
        <w:jc w:val="both"/>
      </w:pPr>
      <w:r>
        <w:t>4.5. Обеспечить, чтобы сделки по Защищенной возможности, заключенные через аффилированных или связанных с Принципалом лиц, учитывались при расчете агентского вознаграждения так же, как сделки самого Принципала.</w:t>
      </w:r>
    </w:p>
    <w:p>
      <w:pPr>
        <w:pStyle w:val="Heading1"/>
      </w:pPr>
      <w:r>
        <w:t>5. ОБЯЗАННОСТИ АГЕНТА И ОТЧЕТНОСТЬ</w:t>
      </w:r>
    </w:p>
    <w:p>
      <w:pPr>
        <w:jc w:val="both"/>
      </w:pPr>
      <w:r>
        <w:t>5.1. Агент передает Принципалу фактически имеющиеся у него сведения и документы по Защищенной возможности. Агент вправе сообщить выявленные при анализе ограничения, прямо следующие из доступной документации, но не гарантирует полноту документации, неизменность опубликованных условий после момента проверки или отсутствие иных ограничений, если они не были доступны Агенту.</w:t>
      </w:r>
    </w:p>
    <w:p>
      <w:pPr>
        <w:jc w:val="both"/>
      </w:pPr>
      <w:r>
        <w:t>5.2. Агент не обязан проводить инженерный расчет, сертификацию, экспертизу промышленной безопасности, юридическое заключение либо иную профессиональную экспертизу, если такая работа отдельно не согласована сторонами.</w:t>
      </w:r>
    </w:p>
    <w:p>
      <w:pPr>
        <w:jc w:val="both"/>
      </w:pPr>
      <w:r>
        <w:t>5.3. Отчетность Агента по конкретной Защищенной возможности осуществляется в электронной форме. Отчетом для целей статьи 1008 ГК РФ считается сообщение или документ, содержащий идентификатор возможности и краткий перечень фактически совершенных Агентом действий. Такой отчет представляется по мере исполнения соответствующего поручения, при закрытии возможности либо по обоснованному запросу Принципала. Отдельные периодические отчеты, не связанные с фактически совершенными действиями, не составляются.</w:t>
      </w:r>
    </w:p>
    <w:p>
      <w:pPr>
        <w:jc w:val="both"/>
      </w:pPr>
      <w:r>
        <w:t>5.4. Если Принципал имеет возражения к отчету, он направляет мотивированные письменные возражения в течение 5 (пяти) рабочих дней с даты его получения. При отсутствии возражений отчет считается принятым.</w:t>
      </w:r>
    </w:p>
    <w:p>
      <w:pPr>
        <w:jc w:val="both"/>
      </w:pPr>
      <w:r>
        <w:t>5.5. Расходы Агента не возмещаются Принципалом, если предварительно прямо не согласованы сторонами в письменной форме.</w:t>
      </w:r>
    </w:p>
    <w:p>
      <w:pPr>
        <w:pStyle w:val="Heading1"/>
      </w:pPr>
      <w:r>
        <w:t>6. АГЕНТСКОЕ ВОЗНАГРАЖДЕНИЕ</w:t>
      </w:r>
    </w:p>
    <w:p>
      <w:pPr>
        <w:jc w:val="both"/>
      </w:pPr>
      <w:r>
        <w:t>6.1. Вознаграждение начисляется только на Фактическую выручку, полученную по Защищенной возможности в течение Защищенного периода, включая дополнительные соглашения, продления, повторные и дополнительные заказы, непосредственно связанные с той же зарегистрированной возможностью.</w:t>
      </w:r>
    </w:p>
    <w:p>
      <w:pPr>
        <w:jc w:val="both"/>
      </w:pPr>
      <w:r>
        <w:t>6.2. Если стороны письменно не согласовали индивидуальный размер вознаграждения для конкретной возможности, применяется следующая прогрессивная шкала. Проценты применяются к соответствующей части Фактической выручки, а не ко всей сумме сделки единым процентом.</w:t>
      </w:r>
    </w:p>
    <w:tbl>
      <w:tblPr>
        <w:tblStyle w:val="TableGrid"/>
        <w:tblW w:type="auto" w:w="0"/>
        <w:jc w:val="center"/>
        <w:tblLook w:firstColumn="1" w:firstRow="1" w:lastColumn="0" w:lastRow="0" w:noHBand="0" w:noVBand="1" w:val="04A0"/>
      </w:tblPr>
      <w:tblGrid>
        <w:gridCol w:w="3381"/>
        <w:gridCol w:w="3381"/>
        <w:gridCol w:w="3381"/>
      </w:tblGrid>
      <w:tr>
        <w:tc>
          <w:tcPr>
            <w:tcW w:type="dxa" w:w="3381"/>
            <w:vAlign w:val="center"/>
          </w:tcPr>
          <w:p>
            <w:r>
              <w:rPr>
                <w:rFonts w:ascii="Arial" w:hAnsi="Arial"/>
                <w:b/>
                <w:sz w:val="18"/>
              </w:rPr>
              <w:t>Часть Фактической выручки</w:t>
            </w:r>
          </w:p>
        </w:tc>
        <w:tc>
          <w:tcPr>
            <w:tcW w:type="dxa" w:w="3381"/>
            <w:vAlign w:val="center"/>
          </w:tcPr>
          <w:p>
            <w:r>
              <w:rPr>
                <w:rFonts w:ascii="Arial" w:hAnsi="Arial"/>
                <w:b/>
                <w:sz w:val="18"/>
              </w:rPr>
              <w:t>Ставка</w:t>
            </w:r>
          </w:p>
        </w:tc>
        <w:tc>
          <w:tcPr>
            <w:tcW w:type="dxa" w:w="3381"/>
            <w:vAlign w:val="center"/>
          </w:tcPr>
          <w:p>
            <w:r>
              <w:rPr>
                <w:rFonts w:ascii="Arial" w:hAnsi="Arial"/>
                <w:b/>
                <w:sz w:val="18"/>
              </w:rPr>
              <w:t>Порядок применения</w:t>
            </w:r>
          </w:p>
        </w:tc>
      </w:tr>
      <w:tr>
        <w:tc>
          <w:tcPr>
            <w:tcW w:type="dxa" w:w="3381"/>
            <w:vAlign w:val="center"/>
          </w:tcPr>
          <w:p>
            <w:r>
              <w:rPr>
                <w:rFonts w:ascii="Arial" w:hAnsi="Arial"/>
                <w:sz w:val="18"/>
              </w:rPr>
              <w:t>до 3 000 000 руб.</w:t>
            </w:r>
          </w:p>
        </w:tc>
        <w:tc>
          <w:tcPr>
            <w:tcW w:type="dxa" w:w="3381"/>
            <w:vAlign w:val="center"/>
          </w:tcPr>
          <w:p>
            <w:r>
              <w:rPr>
                <w:rFonts w:ascii="Arial" w:hAnsi="Arial"/>
                <w:sz w:val="18"/>
              </w:rPr>
              <w:t>5%</w:t>
            </w:r>
          </w:p>
        </w:tc>
        <w:tc>
          <w:tcPr>
            <w:tcW w:type="dxa" w:w="3381"/>
            <w:vAlign w:val="center"/>
          </w:tcPr>
          <w:p>
            <w:r>
              <w:rPr>
                <w:rFonts w:ascii="Arial" w:hAnsi="Arial"/>
                <w:sz w:val="18"/>
              </w:rPr>
              <w:t>на первые 3 000 000 руб.</w:t>
            </w:r>
          </w:p>
        </w:tc>
      </w:tr>
      <w:tr>
        <w:tc>
          <w:tcPr>
            <w:tcW w:type="dxa" w:w="3381"/>
            <w:vAlign w:val="center"/>
          </w:tcPr>
          <w:p>
            <w:r>
              <w:rPr>
                <w:rFonts w:ascii="Arial" w:hAnsi="Arial"/>
                <w:sz w:val="18"/>
              </w:rPr>
              <w:t>свыше 3 000 000 до 10 000 000 руб.</w:t>
            </w:r>
          </w:p>
        </w:tc>
        <w:tc>
          <w:tcPr>
            <w:tcW w:type="dxa" w:w="3381"/>
            <w:vAlign w:val="center"/>
          </w:tcPr>
          <w:p>
            <w:r>
              <w:rPr>
                <w:rFonts w:ascii="Arial" w:hAnsi="Arial"/>
                <w:sz w:val="18"/>
              </w:rPr>
              <w:t>4%</w:t>
            </w:r>
          </w:p>
        </w:tc>
        <w:tc>
          <w:tcPr>
            <w:tcW w:type="dxa" w:w="3381"/>
            <w:vAlign w:val="center"/>
          </w:tcPr>
          <w:p>
            <w:r>
              <w:rPr>
                <w:rFonts w:ascii="Arial" w:hAnsi="Arial"/>
                <w:sz w:val="18"/>
              </w:rPr>
              <w:t>на часть свыше 3 до 10 млн руб.</w:t>
            </w:r>
          </w:p>
        </w:tc>
      </w:tr>
      <w:tr>
        <w:tc>
          <w:tcPr>
            <w:tcW w:type="dxa" w:w="3381"/>
            <w:vAlign w:val="center"/>
          </w:tcPr>
          <w:p>
            <w:r>
              <w:rPr>
                <w:rFonts w:ascii="Arial" w:hAnsi="Arial"/>
                <w:sz w:val="18"/>
              </w:rPr>
              <w:t>свыше 10 000 000 до 30 000 000 руб.</w:t>
            </w:r>
          </w:p>
        </w:tc>
        <w:tc>
          <w:tcPr>
            <w:tcW w:type="dxa" w:w="3381"/>
            <w:vAlign w:val="center"/>
          </w:tcPr>
          <w:p>
            <w:r>
              <w:rPr>
                <w:rFonts w:ascii="Arial" w:hAnsi="Arial"/>
                <w:sz w:val="18"/>
              </w:rPr>
              <w:t>3%</w:t>
            </w:r>
          </w:p>
        </w:tc>
        <w:tc>
          <w:tcPr>
            <w:tcW w:type="dxa" w:w="3381"/>
            <w:vAlign w:val="center"/>
          </w:tcPr>
          <w:p>
            <w:r>
              <w:rPr>
                <w:rFonts w:ascii="Arial" w:hAnsi="Arial"/>
                <w:sz w:val="18"/>
              </w:rPr>
              <w:t>на часть свыше 10 до 30 млн руб.</w:t>
            </w:r>
          </w:p>
        </w:tc>
      </w:tr>
      <w:tr>
        <w:tc>
          <w:tcPr>
            <w:tcW w:type="dxa" w:w="3381"/>
            <w:vAlign w:val="center"/>
          </w:tcPr>
          <w:p>
            <w:r>
              <w:rPr>
                <w:rFonts w:ascii="Arial" w:hAnsi="Arial"/>
                <w:sz w:val="18"/>
              </w:rPr>
              <w:t>свыше 30 000 000 до 100 000 000 руб.</w:t>
            </w:r>
          </w:p>
        </w:tc>
        <w:tc>
          <w:tcPr>
            <w:tcW w:type="dxa" w:w="3381"/>
            <w:vAlign w:val="center"/>
          </w:tcPr>
          <w:p>
            <w:r>
              <w:rPr>
                <w:rFonts w:ascii="Arial" w:hAnsi="Arial"/>
                <w:sz w:val="18"/>
              </w:rPr>
              <w:t>2%</w:t>
            </w:r>
          </w:p>
        </w:tc>
        <w:tc>
          <w:tcPr>
            <w:tcW w:type="dxa" w:w="3381"/>
            <w:vAlign w:val="center"/>
          </w:tcPr>
          <w:p>
            <w:r>
              <w:rPr>
                <w:rFonts w:ascii="Arial" w:hAnsi="Arial"/>
                <w:sz w:val="18"/>
              </w:rPr>
              <w:t>на часть свыше 30 до 100 млн руб.</w:t>
            </w:r>
          </w:p>
        </w:tc>
      </w:tr>
      <w:tr>
        <w:tc>
          <w:tcPr>
            <w:tcW w:type="dxa" w:w="3381"/>
            <w:vAlign w:val="center"/>
          </w:tcPr>
          <w:p>
            <w:r>
              <w:rPr>
                <w:rFonts w:ascii="Arial" w:hAnsi="Arial"/>
                <w:sz w:val="18"/>
              </w:rPr>
              <w:t>свыше 100 000 000 до 300 000 000 руб.</w:t>
            </w:r>
          </w:p>
        </w:tc>
        <w:tc>
          <w:tcPr>
            <w:tcW w:type="dxa" w:w="3381"/>
            <w:vAlign w:val="center"/>
          </w:tcPr>
          <w:p>
            <w:r>
              <w:rPr>
                <w:rFonts w:ascii="Arial" w:hAnsi="Arial"/>
                <w:sz w:val="18"/>
              </w:rPr>
              <w:t>1,5%</w:t>
            </w:r>
          </w:p>
        </w:tc>
        <w:tc>
          <w:tcPr>
            <w:tcW w:type="dxa" w:w="3381"/>
            <w:vAlign w:val="center"/>
          </w:tcPr>
          <w:p>
            <w:r>
              <w:rPr>
                <w:rFonts w:ascii="Arial" w:hAnsi="Arial"/>
                <w:sz w:val="18"/>
              </w:rPr>
              <w:t>на часть свыше 100 до 300 млн руб.</w:t>
            </w:r>
          </w:p>
        </w:tc>
      </w:tr>
      <w:tr>
        <w:tc>
          <w:tcPr>
            <w:tcW w:type="dxa" w:w="3381"/>
            <w:vAlign w:val="center"/>
          </w:tcPr>
          <w:p>
            <w:r>
              <w:rPr>
                <w:rFonts w:ascii="Arial" w:hAnsi="Arial"/>
                <w:sz w:val="18"/>
              </w:rPr>
              <w:t>свыше 300 000 000 руб.</w:t>
            </w:r>
          </w:p>
        </w:tc>
        <w:tc>
          <w:tcPr>
            <w:tcW w:type="dxa" w:w="3381"/>
            <w:vAlign w:val="center"/>
          </w:tcPr>
          <w:p>
            <w:r>
              <w:rPr>
                <w:rFonts w:ascii="Arial" w:hAnsi="Arial"/>
                <w:sz w:val="18"/>
              </w:rPr>
              <w:t>1%</w:t>
            </w:r>
          </w:p>
        </w:tc>
        <w:tc>
          <w:tcPr>
            <w:tcW w:type="dxa" w:w="3381"/>
            <w:vAlign w:val="center"/>
          </w:tcPr>
          <w:p>
            <w:r>
              <w:rPr>
                <w:rFonts w:ascii="Arial" w:hAnsi="Arial"/>
                <w:sz w:val="18"/>
              </w:rPr>
              <w:t>на часть свыше 300 млн руб.</w:t>
            </w:r>
          </w:p>
        </w:tc>
      </w:tr>
    </w:tbl>
    <w:p>
      <w:pPr>
        <w:jc w:val="both"/>
      </w:pPr>
      <w:r>
        <w:t>6.3. База расчета определяется без НДС при условии, что НДС выделен в документах Заказчика/Принципала. Если НДС не выделяется, базой является вся Фактическая выручка.</w:t>
      </w:r>
    </w:p>
    <w:p>
      <w:pPr>
        <w:jc w:val="both"/>
      </w:pPr>
      <w:r>
        <w:t>6.4. Агентское вознаграждение подлежит оплате пропорционально каждому фактически полученному Принципалом платежу от Заказчика. Срок перечисления соответствующей части вознаграждения — 5 (пять) рабочих дней с даты поступления такого платежа Принципалу или связанному с ним лицу.</w:t>
      </w:r>
    </w:p>
    <w:p>
      <w:pPr>
        <w:jc w:val="both"/>
      </w:pPr>
      <w:r>
        <w:t>6.5. Получение Принципалом неденежного встречного предоставления, взаимозачета, уступки, оплаты третьему лицу по указанию Принципала или иного экономически эквивалентного исполнения рассматривается как получение Фактической выручки в соответствующем размере.</w:t>
      </w:r>
    </w:p>
    <w:p>
      <w:pPr>
        <w:jc w:val="both"/>
      </w:pPr>
      <w:r>
        <w:t>6.6. Принципал не вправе уменьшать базу вознаграждения на собственные расходы, себестоимость, логистику, банковские комиссии, налоги (кроме отдельно выделенного НДС), штрафы, скидки, предоставленные после заключения сделки без объективной необходимости, либо платежи связанным лицам.</w:t>
      </w:r>
    </w:p>
    <w:p>
      <w:pPr>
        <w:pStyle w:val="Heading1"/>
      </w:pPr>
      <w:r>
        <w:t>7. ЗАЩИТА ОТ ОБХОДА</w:t>
      </w:r>
    </w:p>
    <w:p>
      <w:pPr>
        <w:jc w:val="both"/>
      </w:pPr>
      <w:r>
        <w:t>7.1. В течение Защищенного периода Принципал обязан выплатить Агенту вознаграждение по любой сделке, экономически происходящей из зарегистрированной Защищенной возможности, независимо от того, заключена она Принципалом напрямую, через аффилированное/связанное лицо, посредника, номинала, партнера, сотрудника, субподрядчика либо иное лицо, если такой способ используется для реализации той же возможности.</w:t>
      </w:r>
    </w:p>
    <w:p>
      <w:pPr>
        <w:jc w:val="both"/>
      </w:pPr>
      <w:r>
        <w:t>7.2. Прекращение настоящего договора не прекращает защиту ранее зарегистрированных возможностей: положения о вознаграждении, подтверждении базы вознаграждения, конфиденциальности и запрете обхода сохраняют силу до окончания соответствующего Защищенного периода и полного расчета сторон.</w:t>
      </w:r>
    </w:p>
    <w:p>
      <w:pPr>
        <w:jc w:val="both"/>
      </w:pPr>
      <w:r>
        <w:t>7.3. При умышленном сокрытии заключенной сделки, полученной выручки либо при доказанном обходе Агента Принципал уплачивает: (а) невыплаченное агентское вознаграждение; и (б) штраф в размере 50% от суммы скрытого/невыплаченного агентского вознаграждения. Уплата штрафа не освобождает от исполнения основного обязательства.</w:t>
      </w:r>
    </w:p>
    <w:p>
      <w:pPr>
        <w:jc w:val="both"/>
      </w:pPr>
      <w:r>
        <w:t>7.4. За просрочку выплаты агентского вознаграждения Принципал уплачивает неустойку 0,05% от просроченной суммы за каждый день просрочки, но не более 20% такой суммы.</w:t>
      </w:r>
    </w:p>
    <w:p>
      <w:pPr>
        <w:pStyle w:val="Heading1"/>
      </w:pPr>
      <w:r>
        <w:t>8. КОНФИДЕНЦИАЛЬНОСТЬ</w:t>
      </w:r>
    </w:p>
    <w:p>
      <w:pPr>
        <w:jc w:val="both"/>
      </w:pPr>
      <w:r>
        <w:t>8.1. Конфиденциальными считаются непубличные сведения о методике Агента, аналитике, расчетах, условиях сотрудничества, зарегистрированных связках, контактных лицах и внутренних комментариях сторон.</w:t>
      </w:r>
    </w:p>
    <w:p>
      <w:pPr>
        <w:jc w:val="both"/>
      </w:pPr>
      <w:r>
        <w:t>8.2. Сведения, которые являются общедоступными либо опубликованы Заказчиком/ЭТП/официальным источником, сами по себе не приобретают режим коммерческой тайны только вследствие их передачи Агентом.</w:t>
      </w:r>
    </w:p>
    <w:p>
      <w:pPr>
        <w:jc w:val="both"/>
      </w:pPr>
      <w:r>
        <w:t>8.3. Стороны вправе раскрывать сведения государственным органам, банкам, аудиторам, адвокатам и иным профессиональным консультантам в объеме, необходимом по закону или для защиты своих прав, при соблюдении режима конфиденциальности.</w:t>
      </w:r>
    </w:p>
    <w:p>
      <w:pPr>
        <w:pStyle w:val="Heading1"/>
      </w:pPr>
      <w:r>
        <w:t>9. ДОКАЗАТЕЛЬСТВА И ЭЛЕКТРОННОЕ ВЗАИМОДЕЙСТВИЕ</w:t>
      </w:r>
    </w:p>
    <w:p>
      <w:pPr>
        <w:jc w:val="both"/>
      </w:pPr>
      <w:r>
        <w:t>9.1. Стороны признают юридическую силу переписки по согласованным адресам электронной почты и аккаунтам в мессенджерах, указанным при подписании договора или позднее подтвержденным сторонами.</w:t>
      </w:r>
    </w:p>
    <w:p>
      <w:pPr>
        <w:jc w:val="both"/>
      </w:pPr>
      <w:r>
        <w:t>9.2. Сообщения о регистрации Защищенной возможности, согласовании ставки, статусе сделки, получении платежа и иные уведомления могут направляться в электронной форме без составления отдельного бумажного документа.</w:t>
      </w:r>
    </w:p>
    <w:p>
      <w:pPr>
        <w:jc w:val="both"/>
      </w:pPr>
      <w:r>
        <w:t>9.3. В качестве доказательств взаимодействия могут использоваться электронные письма, экспорт переписки, скриншоты, файлы, журналы отправки, коммерческие предложения, документы закупки и иные допустимые доказательства.</w:t>
      </w:r>
    </w:p>
    <w:p>
      <w:pPr>
        <w:pStyle w:val="Heading1"/>
      </w:pPr>
      <w:r>
        <w:t>10. ОТВЕТСТВЕННОСТЬ И ОГРАНИЧЕНИЯ</w:t>
      </w:r>
    </w:p>
    <w:p>
      <w:pPr>
        <w:jc w:val="both"/>
      </w:pPr>
      <w:r>
        <w:t>10.1. Каждая сторона отвечает за достоверность сведений и документов, которые она предоставляет другой стороне.</w:t>
      </w:r>
    </w:p>
    <w:p>
      <w:pPr>
        <w:jc w:val="both"/>
      </w:pPr>
      <w:r>
        <w:t>10.2. Агент не отвечает за действия или бездействие Заказчика, ЭТП, органов власти, перевозчиков, банков, субподрядчиков, а также за отклонение заявки, изменение или отмену закупки, если такие обстоятельства не вызваны виновными действиями Агента.</w:t>
      </w:r>
    </w:p>
    <w:p>
      <w:pPr>
        <w:jc w:val="both"/>
      </w:pPr>
      <w:r>
        <w:t>10.3. Принципал самостоятельно несет ответственность за техническую корректность коммерческого предложения, соответствие продукции/работ ТЗ, наличие необходимых разрешений, сертификатов, СРО, лицензий, происхождение товара, сроки и исполнение заключенного с Заказчиком договора.</w:t>
      </w:r>
    </w:p>
    <w:p>
      <w:pPr>
        <w:jc w:val="both"/>
      </w:pPr>
      <w:r>
        <w:t>10.4. В пределах, допускаемых законом, ответственность Агента по настоящему договору ограничивается документально подтвержденным реальным ущербом, причиненным его виновными действиями, и не включает упущенную выгоду. Настоящее ограничение не применяется к умышленному нарушению обязательства и в иных случаях, когда ограничение ответственности запрещено императивной нормой закона.</w:t>
      </w:r>
    </w:p>
    <w:p>
      <w:pPr>
        <w:pStyle w:val="Heading1"/>
      </w:pPr>
      <w:r>
        <w:t>11. СРОК ДЕЙСТВИЯ И ПРЕКРАЩЕНИЕ</w:t>
      </w:r>
    </w:p>
    <w:p>
      <w:pPr>
        <w:jc w:val="both"/>
      </w:pPr>
      <w:r>
        <w:t>11.1. Договор вступает в силу с даты подписания и заключается на 12 месяцев. Если ни одна сторона не заявила о прекращении не менее чем за 30 календарных дней до окончания срока, договор продлевается на следующие 12 месяцев.</w:t>
      </w:r>
    </w:p>
    <w:p>
      <w:pPr>
        <w:jc w:val="both"/>
      </w:pPr>
      <w:r>
        <w:t>11.2. Любая сторона вправе прекратить договор путем письменного уведомления другой стороны за 30 календарных дней, если иное не согласовано дополнительно.</w:t>
      </w:r>
    </w:p>
    <w:p>
      <w:pPr>
        <w:jc w:val="both"/>
      </w:pPr>
      <w:r>
        <w:t>11.3. Прекращение договора не влияет на обязательства по ранее зарегистрированным Защищенным возможностям, начисленному/будущему вознаграждению по ним, конфиденциальности, запрету обхода и расчетам.</w:t>
      </w:r>
    </w:p>
    <w:p>
      <w:pPr>
        <w:pStyle w:val="Heading1"/>
      </w:pPr>
      <w:r>
        <w:t>12. РАЗРЕШЕНИЕ СПОРОВ</w:t>
      </w:r>
    </w:p>
    <w:p>
      <w:pPr>
        <w:jc w:val="both"/>
      </w:pPr>
      <w:r>
        <w:t>12.1. До обращения в суд сторона направляет письменную претензию. Срок ответа на претензию — 10 рабочих дней с даты ее получения.</w:t>
      </w:r>
    </w:p>
    <w:p>
      <w:pPr>
        <w:jc w:val="both"/>
      </w:pPr>
      <w:r>
        <w:t>12.2. При недостижении соглашения спор разрешается в соответствии с законодательством Российской Федерации в компетентном суде по общим правилам подсудности, если стороны в подписанной редакции договора не согласовали иную подсудность.</w:t>
      </w:r>
    </w:p>
    <w:p>
      <w:pPr>
        <w:pStyle w:val="Heading1"/>
      </w:pPr>
      <w:r>
        <w:t>13. ЗАКЛЮЧИТЕЛЬНЫЕ ПОЛОЖЕНИЯ</w:t>
      </w:r>
    </w:p>
    <w:p>
      <w:pPr>
        <w:jc w:val="both"/>
      </w:pPr>
      <w:r>
        <w:t>13.1. Настоящий договор регулируется законодательством Российской Федерации. В части агентских отношений применяются положения главы 52 ГК РФ с учетом прямо согласованного сторонами порядка вознаграждения, отчетности и регистрации возможностей.</w:t>
      </w:r>
    </w:p>
    <w:p>
      <w:pPr>
        <w:jc w:val="both"/>
      </w:pPr>
      <w:r>
        <w:t>13.2. Изменение условий по конкретной Защищенной возможности допускается путем электронной переписки, если из нее однозначно следует согласованная сторонами редакция условий.</w:t>
      </w:r>
    </w:p>
    <w:p>
      <w:pPr>
        <w:jc w:val="both"/>
      </w:pPr>
      <w:r>
        <w:t>13.3. Недействительность отдельного положения договора не влечет недействительность остальных положений.</w:t>
      </w:r>
    </w:p>
    <w:p>
      <w:pPr>
        <w:jc w:val="both"/>
      </w:pPr>
      <w:r>
        <w:t>13.4. Настоящий публичный шаблон не является публичной офертой. Идентифицирующие сведения, реквизиты сторон, контактные адреса и иные данные заполняются в подписываемой редакции.</w:t>
      </w:r>
    </w:p>
    <w:p>
      <w:pPr>
        <w:pStyle w:val="Heading1"/>
      </w:pPr>
      <w:r>
        <w:t>14. ПОДПИСИ И РЕКВИЗИТЫ СТОРОН</w:t>
      </w:r>
    </w:p>
    <w:tbl>
      <w:tblPr>
        <w:tblStyle w:val="TableGrid"/>
        <w:tblW w:type="auto" w:w="0"/>
        <w:jc w:val="center"/>
        <w:tblLook w:firstColumn="1" w:firstRow="1" w:lastColumn="0" w:lastRow="0" w:noHBand="0" w:noVBand="1" w:val="04A0"/>
      </w:tblPr>
      <w:tblGrid>
        <w:gridCol w:w="5071"/>
        <w:gridCol w:w="5071"/>
      </w:tblGrid>
      <w:tr>
        <w:tc>
          <w:tcPr>
            <w:tcW w:type="dxa" w:w="5071"/>
          </w:tcPr>
          <w:p>
            <w:r>
              <w:rPr>
                <w:rFonts w:ascii="Arial" w:hAnsi="Arial"/>
                <w:b/>
                <w:sz w:val="19"/>
              </w:rPr>
              <w:t>АГЕНТ</w:t>
            </w:r>
          </w:p>
        </w:tc>
        <w:tc>
          <w:tcPr>
            <w:tcW w:type="dxa" w:w="5071"/>
          </w:tcPr>
          <w:p>
            <w:r>
              <w:rPr>
                <w:rFonts w:ascii="Arial" w:hAnsi="Arial"/>
                <w:b/>
                <w:sz w:val="19"/>
              </w:rPr>
              <w:t>ПРИНЦИПАЛ</w:t>
            </w:r>
          </w:p>
        </w:tc>
      </w:tr>
      <w:tr>
        <w:tc>
          <w:tcPr>
            <w:tcW w:type="dxa" w:w="5071"/>
          </w:tcPr>
          <w:p>
            <w:r>
              <w:rPr>
                <w:rFonts w:ascii="Arial" w:hAnsi="Arial"/>
                <w:sz w:val="19"/>
              </w:rPr>
              <w:t>Наименование/ФИО: ____________________</w:t>
            </w:r>
          </w:p>
        </w:tc>
        <w:tc>
          <w:tcPr>
            <w:tcW w:type="dxa" w:w="5071"/>
          </w:tcPr>
          <w:p>
            <w:r>
              <w:rPr>
                <w:rFonts w:ascii="Arial" w:hAnsi="Arial"/>
                <w:sz w:val="19"/>
              </w:rPr>
              <w:t>Наименование/ФИО: ____________________</w:t>
            </w:r>
          </w:p>
        </w:tc>
      </w:tr>
      <w:tr>
        <w:tc>
          <w:tcPr>
            <w:tcW w:type="dxa" w:w="5071"/>
          </w:tcPr>
          <w:p>
            <w:r>
              <w:rPr>
                <w:rFonts w:ascii="Arial" w:hAnsi="Arial"/>
                <w:sz w:val="19"/>
              </w:rPr>
              <w:t>Реквизиты: ____________________________</w:t>
            </w:r>
          </w:p>
        </w:tc>
        <w:tc>
          <w:tcPr>
            <w:tcW w:type="dxa" w:w="5071"/>
          </w:tcPr>
          <w:p>
            <w:r>
              <w:rPr>
                <w:rFonts w:ascii="Arial" w:hAnsi="Arial"/>
                <w:sz w:val="19"/>
              </w:rPr>
              <w:t>Реквизиты: ____________________________</w:t>
            </w:r>
          </w:p>
        </w:tc>
      </w:tr>
      <w:tr>
        <w:tc>
          <w:tcPr>
            <w:tcW w:type="dxa" w:w="5071"/>
          </w:tcPr>
          <w:p>
            <w:r>
              <w:rPr>
                <w:rFonts w:ascii="Arial" w:hAnsi="Arial"/>
                <w:sz w:val="19"/>
              </w:rPr>
              <w:t>Подпись: ______________________________</w:t>
            </w:r>
          </w:p>
        </w:tc>
        <w:tc>
          <w:tcPr>
            <w:tcW w:type="dxa" w:w="5071"/>
          </w:tcPr>
          <w:p>
            <w:r>
              <w:rPr>
                <w:rFonts w:ascii="Arial" w:hAnsi="Arial"/>
                <w:sz w:val="19"/>
              </w:rPr>
              <w:t>Подпись: ______________________________</w:t>
            </w:r>
          </w:p>
        </w:tc>
      </w:tr>
    </w:tbl>
    <w:p/>
    <w:sectPr w:rsidR="00FC693F" w:rsidRPr="0006063C" w:rsidSect="00034616">
      <w:pgSz w:w="12240" w:h="15840"/>
      <w:pgMar w:top="964" w:right="96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422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42234"/>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42234"/>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rFonts w:ascii="Arial" w:hAnsi="Arial"/>
      <w:color w:val="505A6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